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F5C" w:rsidRDefault="006D0456">
      <w:pPr>
        <w:pStyle w:val="1"/>
        <w:spacing w:before="0" w:after="0"/>
        <w:ind w:firstLineChars="0" w:firstLine="0"/>
        <w:jc w:val="center"/>
      </w:pPr>
      <w:bookmarkStart w:id="0" w:name="_Toc444874641"/>
      <w:r>
        <w:rPr>
          <w:rFonts w:hint="eastAsia"/>
        </w:rPr>
        <w:t>2</w:t>
      </w:r>
      <w:r>
        <w:t>018</w:t>
      </w:r>
      <w:r>
        <w:rPr>
          <w:rFonts w:hint="eastAsia"/>
        </w:rPr>
        <w:t>年</w:t>
      </w:r>
      <w:r w:rsidR="00D720D0">
        <w:rPr>
          <w:rFonts w:hint="eastAsia"/>
        </w:rPr>
        <w:t>物理科学与技术学院本科生转专业实施细则</w:t>
      </w:r>
      <w:bookmarkEnd w:id="0"/>
    </w:p>
    <w:p w:rsidR="00D40F5C" w:rsidRDefault="00D720D0">
      <w:pPr>
        <w:pStyle w:val="a"/>
        <w:numPr>
          <w:ilvl w:val="0"/>
          <w:numId w:val="2"/>
        </w:numPr>
      </w:pPr>
      <w:bookmarkStart w:id="1" w:name="_Toc444615603"/>
      <w:bookmarkStart w:id="2" w:name="_Toc444848997"/>
      <w:bookmarkStart w:id="3" w:name="_Toc444871993"/>
      <w:r>
        <w:rPr>
          <w:rFonts w:hint="eastAsia"/>
        </w:rPr>
        <w:t>转专业工作领导小组</w:t>
      </w:r>
      <w:bookmarkEnd w:id="1"/>
      <w:bookmarkEnd w:id="2"/>
      <w:bookmarkEnd w:id="3"/>
    </w:p>
    <w:p w:rsidR="00D40F5C" w:rsidRDefault="0026105F">
      <w:pPr>
        <w:ind w:firstLine="480"/>
        <w:rPr>
          <w:szCs w:val="24"/>
        </w:rPr>
      </w:pPr>
      <w:r>
        <w:rPr>
          <w:rFonts w:hint="eastAsia"/>
          <w:szCs w:val="24"/>
        </w:rPr>
        <w:t>组长：刘庆想</w:t>
      </w:r>
    </w:p>
    <w:p w:rsidR="00D40F5C" w:rsidRDefault="00D720D0">
      <w:pPr>
        <w:ind w:firstLine="480"/>
        <w:rPr>
          <w:szCs w:val="24"/>
        </w:rPr>
      </w:pPr>
      <w:r>
        <w:rPr>
          <w:rFonts w:hint="eastAsia"/>
          <w:szCs w:val="24"/>
        </w:rPr>
        <w:t>副组长：刘长军、</w:t>
      </w:r>
      <w:r w:rsidR="0026105F">
        <w:rPr>
          <w:rFonts w:hint="eastAsia"/>
          <w:szCs w:val="24"/>
        </w:rPr>
        <w:t>王喜庆</w:t>
      </w:r>
    </w:p>
    <w:p w:rsidR="0026105F" w:rsidRDefault="00D720D0">
      <w:pPr>
        <w:ind w:firstLine="480"/>
        <w:rPr>
          <w:szCs w:val="24"/>
        </w:rPr>
      </w:pPr>
      <w:r>
        <w:rPr>
          <w:rFonts w:hint="eastAsia"/>
          <w:szCs w:val="24"/>
        </w:rPr>
        <w:t>成员：</w:t>
      </w:r>
      <w:r w:rsidR="0026105F">
        <w:rPr>
          <w:rFonts w:hint="eastAsia"/>
          <w:szCs w:val="24"/>
        </w:rPr>
        <w:t>贾焕玉、</w:t>
      </w:r>
      <w:r>
        <w:rPr>
          <w:rFonts w:hint="eastAsia"/>
          <w:szCs w:val="24"/>
        </w:rPr>
        <w:t>刘运林、李金龙、</w:t>
      </w:r>
      <w:r w:rsidR="0026105F">
        <w:rPr>
          <w:rFonts w:hint="eastAsia"/>
          <w:szCs w:val="24"/>
        </w:rPr>
        <w:t>刘其军、门满洲</w:t>
      </w:r>
    </w:p>
    <w:p w:rsidR="00D40F5C" w:rsidRDefault="00D720D0">
      <w:pPr>
        <w:ind w:firstLine="480"/>
        <w:rPr>
          <w:szCs w:val="24"/>
        </w:rPr>
      </w:pPr>
      <w:r>
        <w:rPr>
          <w:rFonts w:hint="eastAsia"/>
          <w:szCs w:val="24"/>
        </w:rPr>
        <w:t>秘书：</w:t>
      </w:r>
      <w:r w:rsidR="0026105F">
        <w:rPr>
          <w:rFonts w:hint="eastAsia"/>
          <w:szCs w:val="24"/>
        </w:rPr>
        <w:t>冯媛</w:t>
      </w:r>
      <w:r w:rsidR="0026105F">
        <w:rPr>
          <w:szCs w:val="24"/>
        </w:rPr>
        <w:t xml:space="preserve"> </w:t>
      </w:r>
    </w:p>
    <w:p w:rsidR="00D40F5C" w:rsidRDefault="00D720D0">
      <w:pPr>
        <w:pStyle w:val="a"/>
        <w:numPr>
          <w:ilvl w:val="0"/>
          <w:numId w:val="2"/>
        </w:numPr>
      </w:pPr>
      <w:bookmarkStart w:id="4" w:name="_Toc444615604"/>
      <w:bookmarkStart w:id="5" w:name="_Toc444848998"/>
      <w:bookmarkStart w:id="6" w:name="_Toc444871994"/>
      <w:r>
        <w:rPr>
          <w:rFonts w:hint="eastAsia"/>
        </w:rPr>
        <w:t>学院大类内分专业实施</w:t>
      </w:r>
      <w:r>
        <w:t>细则</w:t>
      </w:r>
      <w:bookmarkEnd w:id="4"/>
      <w:bookmarkEnd w:id="5"/>
      <w:bookmarkEnd w:id="6"/>
    </w:p>
    <w:p w:rsidR="00D40F5C" w:rsidRDefault="00D720D0">
      <w:pPr>
        <w:pStyle w:val="10"/>
        <w:numPr>
          <w:ilvl w:val="0"/>
          <w:numId w:val="3"/>
        </w:numPr>
        <w:ind w:firstLineChars="0"/>
        <w:rPr>
          <w:rFonts w:asciiTheme="minorEastAsia" w:hAnsiTheme="minorEastAsia" w:cs="宋体"/>
          <w:color w:val="000000" w:themeColor="text1"/>
        </w:rPr>
      </w:pPr>
      <w:r>
        <w:rPr>
          <w:rFonts w:asciiTheme="minorEastAsia" w:hAnsiTheme="minorEastAsia" w:cs="宋体" w:hint="eastAsia"/>
          <w:color w:val="000000" w:themeColor="text1"/>
        </w:rPr>
        <w:t>根据学校的相关文件精神，学生可以在学院大类内自由选择专业，但大类之间的专业不可自由选择，即电磁场和光电方向可以互转，应用物理学专业和电子信息科学与技术专业间不能自由互转。应用物理学专业的学生可以向学院提出院内转专业申请，经学院审核批准后方可转专业，但是</w:t>
      </w:r>
      <w:r>
        <w:rPr>
          <w:rFonts w:ascii="宋体" w:hAnsi="宋体" w:cs="宋体" w:hint="eastAsia"/>
          <w:color w:val="000000" w:themeColor="text1"/>
          <w:kern w:val="0"/>
          <w:szCs w:val="24"/>
        </w:rPr>
        <w:t>转出</w:t>
      </w:r>
      <w:r>
        <w:rPr>
          <w:rFonts w:ascii="宋体" w:hAnsi="宋体" w:cs="宋体"/>
          <w:color w:val="000000" w:themeColor="text1"/>
          <w:kern w:val="0"/>
          <w:szCs w:val="24"/>
        </w:rPr>
        <w:t>比例原则上不超过本年级本专业</w:t>
      </w:r>
      <w:r>
        <w:rPr>
          <w:rFonts w:ascii="宋体" w:hAnsi="宋体" w:cs="宋体" w:hint="eastAsia"/>
          <w:color w:val="000000" w:themeColor="text1"/>
          <w:kern w:val="0"/>
          <w:szCs w:val="24"/>
        </w:rPr>
        <w:t>招生总</w:t>
      </w:r>
      <w:r>
        <w:rPr>
          <w:rFonts w:ascii="宋体" w:hAnsi="宋体" w:cs="宋体"/>
          <w:color w:val="000000" w:themeColor="text1"/>
          <w:kern w:val="0"/>
          <w:szCs w:val="24"/>
        </w:rPr>
        <w:t>人数</w:t>
      </w:r>
      <w:r>
        <w:rPr>
          <w:rFonts w:ascii="宋体" w:hAnsi="宋体" w:cs="宋体" w:hint="eastAsia"/>
          <w:color w:val="000000" w:themeColor="text1"/>
          <w:kern w:val="0"/>
          <w:szCs w:val="24"/>
        </w:rPr>
        <w:t>的10%</w:t>
      </w:r>
      <w:r>
        <w:rPr>
          <w:rFonts w:asciiTheme="minorEastAsia" w:hAnsiTheme="minorEastAsia" w:cs="宋体" w:hint="eastAsia"/>
          <w:color w:val="000000" w:themeColor="text1"/>
        </w:rPr>
        <w:t>。</w:t>
      </w:r>
    </w:p>
    <w:p w:rsidR="00D40F5C" w:rsidRDefault="00D720D0">
      <w:pPr>
        <w:pStyle w:val="10"/>
        <w:numPr>
          <w:ilvl w:val="0"/>
          <w:numId w:val="3"/>
        </w:numPr>
        <w:ind w:firstLineChars="0"/>
        <w:rPr>
          <w:rFonts w:asciiTheme="minorEastAsia" w:hAnsiTheme="minorEastAsia" w:cs="宋体"/>
          <w:color w:val="000000" w:themeColor="text1"/>
        </w:rPr>
      </w:pPr>
      <w:r>
        <w:rPr>
          <w:rFonts w:asciiTheme="minorEastAsia" w:hAnsiTheme="minorEastAsia" w:cs="宋体" w:hint="eastAsia"/>
          <w:color w:val="000000" w:themeColor="text1"/>
        </w:rPr>
        <w:t>在专业可容纳人数的情况下，尽量满足学生的个人志愿。在学生填报的志愿数高于该专业可容纳人数时，对填报相同专业的学生第一学年的综合成绩进行从高到低排序，以确定该专业的学生。</w:t>
      </w:r>
    </w:p>
    <w:p w:rsidR="00D40F5C" w:rsidRDefault="00D720D0">
      <w:pPr>
        <w:pStyle w:val="10"/>
        <w:numPr>
          <w:ilvl w:val="0"/>
          <w:numId w:val="3"/>
        </w:numPr>
        <w:ind w:firstLineChars="0"/>
        <w:rPr>
          <w:rFonts w:asciiTheme="minorEastAsia" w:hAnsiTheme="minorEastAsia" w:cs="宋体"/>
          <w:color w:val="000000" w:themeColor="text1"/>
        </w:rPr>
      </w:pPr>
      <w:r>
        <w:rPr>
          <w:rFonts w:asciiTheme="minorEastAsia" w:hAnsiTheme="minorEastAsia" w:cs="宋体" w:hint="eastAsia"/>
          <w:color w:val="000000" w:themeColor="text1"/>
        </w:rPr>
        <w:t>各个专业的可容纳人数，按该年级招生计划确定，分流前在学院网站公示。</w:t>
      </w:r>
    </w:p>
    <w:p w:rsidR="00D40F5C" w:rsidRDefault="00D720D0">
      <w:pPr>
        <w:pStyle w:val="10"/>
        <w:numPr>
          <w:ilvl w:val="0"/>
          <w:numId w:val="3"/>
        </w:numPr>
        <w:ind w:firstLineChars="0"/>
        <w:rPr>
          <w:rFonts w:asciiTheme="minorEastAsia" w:hAnsiTheme="minorEastAsia" w:cs="宋体"/>
          <w:color w:val="000000" w:themeColor="text1"/>
        </w:rPr>
      </w:pPr>
      <w:r>
        <w:rPr>
          <w:rFonts w:asciiTheme="minorEastAsia" w:hAnsiTheme="minorEastAsia" w:hint="eastAsia"/>
          <w:color w:val="000000" w:themeColor="text1"/>
        </w:rPr>
        <w:t>学院在一年级第二学期第15周（第一次选课开始）之前发布大类内分专业的工作安排，经学校审核后统一公布。学生在第二学期第19周（第二次选课结束）前填报专业分流志愿，并在规定日期前交所在学院。</w:t>
      </w:r>
    </w:p>
    <w:p w:rsidR="00D40F5C" w:rsidRDefault="00D40F5C">
      <w:pPr>
        <w:ind w:left="1320"/>
        <w:rPr>
          <w:rFonts w:asciiTheme="minorEastAsia" w:hAnsiTheme="minorEastAsia" w:cs="宋体"/>
        </w:rPr>
      </w:pPr>
    </w:p>
    <w:p w:rsidR="00D40F5C" w:rsidRDefault="00D720D0">
      <w:pPr>
        <w:pStyle w:val="a"/>
        <w:numPr>
          <w:ilvl w:val="0"/>
          <w:numId w:val="2"/>
        </w:numPr>
      </w:pPr>
      <w:bookmarkStart w:id="7" w:name="_Toc444871995"/>
      <w:bookmarkStart w:id="8" w:name="_Toc444848999"/>
      <w:bookmarkStart w:id="9" w:name="_Toc444615605"/>
      <w:r>
        <w:rPr>
          <w:rFonts w:hint="eastAsia"/>
        </w:rPr>
        <w:t>转专业实施细则</w:t>
      </w:r>
      <w:bookmarkEnd w:id="7"/>
      <w:bookmarkEnd w:id="8"/>
      <w:bookmarkEnd w:id="9"/>
    </w:p>
    <w:p w:rsidR="00D40F5C" w:rsidRDefault="00D720D0">
      <w:pPr>
        <w:pStyle w:val="10"/>
        <w:ind w:left="420" w:firstLineChars="0" w:firstLine="0"/>
        <w:rPr>
          <w:b/>
          <w:bCs/>
        </w:rPr>
      </w:pPr>
      <w:r>
        <w:rPr>
          <w:rFonts w:ascii="Times New Roman" w:hAnsi="Times New Roman" w:hint="eastAsia"/>
          <w:b/>
          <w:bCs/>
        </w:rPr>
        <w:t>第一条</w:t>
      </w:r>
      <w:r>
        <w:rPr>
          <w:rFonts w:ascii="Times New Roman" w:hAnsi="Times New Roman" w:hint="eastAsia"/>
          <w:b/>
          <w:bCs/>
        </w:rPr>
        <w:t xml:space="preserve"> </w:t>
      </w:r>
      <w:r>
        <w:rPr>
          <w:rFonts w:ascii="Times New Roman" w:hAnsi="Times New Roman"/>
          <w:b/>
          <w:bCs/>
        </w:rPr>
        <w:t xml:space="preserve"> </w:t>
      </w:r>
      <w:r>
        <w:rPr>
          <w:rFonts w:hint="eastAsia"/>
          <w:b/>
          <w:bCs/>
        </w:rPr>
        <w:t>转专业要求</w:t>
      </w:r>
    </w:p>
    <w:p w:rsidR="00D40F5C" w:rsidRDefault="00D720D0">
      <w:pPr>
        <w:pStyle w:val="10"/>
        <w:numPr>
          <w:ilvl w:val="0"/>
          <w:numId w:val="4"/>
        </w:numPr>
        <w:ind w:firstLineChars="0"/>
        <w:rPr>
          <w:rFonts w:ascii="Times New Roman" w:hAnsi="Times New Roman"/>
          <w:color w:val="000000" w:themeColor="text1"/>
        </w:rPr>
      </w:pPr>
      <w:r>
        <w:rPr>
          <w:rFonts w:ascii="Times New Roman" w:hAnsi="Times New Roman" w:hint="eastAsia"/>
          <w:color w:val="000000" w:themeColor="text1"/>
        </w:rPr>
        <w:t>在读大一或大二本科生，符合转入专业准入要求，完成跨院系或学科类专业准入课程，达到跨院或学科类专业准入课程学分和成绩要求；</w:t>
      </w:r>
    </w:p>
    <w:p w:rsidR="00D40F5C" w:rsidRDefault="00D720D0">
      <w:pPr>
        <w:pStyle w:val="10"/>
        <w:numPr>
          <w:ilvl w:val="0"/>
          <w:numId w:val="4"/>
        </w:numPr>
        <w:ind w:firstLineChars="0"/>
        <w:rPr>
          <w:rFonts w:ascii="Times New Roman" w:hAnsi="Times New Roman"/>
          <w:color w:val="000000" w:themeColor="text1"/>
        </w:rPr>
      </w:pPr>
      <w:r>
        <w:rPr>
          <w:rFonts w:ascii="Times New Roman" w:hAnsi="Times New Roman" w:hint="eastAsia"/>
          <w:color w:val="000000" w:themeColor="text1"/>
        </w:rPr>
        <w:t>通过培养计划要求的全部必修课和限选课，没有挂科；</w:t>
      </w:r>
    </w:p>
    <w:p w:rsidR="00D40F5C" w:rsidRDefault="00D720D0">
      <w:pPr>
        <w:pStyle w:val="10"/>
        <w:numPr>
          <w:ilvl w:val="0"/>
          <w:numId w:val="4"/>
        </w:numPr>
        <w:ind w:firstLineChars="0"/>
        <w:rPr>
          <w:rFonts w:ascii="Times New Roman" w:hAnsi="Times New Roman"/>
          <w:color w:val="000000" w:themeColor="text1"/>
        </w:rPr>
      </w:pPr>
      <w:r>
        <w:rPr>
          <w:rFonts w:ascii="Times New Roman" w:hAnsi="Times New Roman" w:hint="eastAsia"/>
          <w:color w:val="000000" w:themeColor="text1"/>
        </w:rPr>
        <w:t>在校学习期间没有任何违反校纪现象发生；</w:t>
      </w:r>
    </w:p>
    <w:p w:rsidR="00D40F5C" w:rsidRDefault="00D720D0">
      <w:pPr>
        <w:pStyle w:val="10"/>
        <w:numPr>
          <w:ilvl w:val="0"/>
          <w:numId w:val="4"/>
        </w:numPr>
        <w:ind w:firstLineChars="0"/>
        <w:rPr>
          <w:rFonts w:ascii="Times New Roman" w:hAnsi="Times New Roman"/>
          <w:color w:val="000000" w:themeColor="text1"/>
        </w:rPr>
      </w:pPr>
      <w:r>
        <w:rPr>
          <w:rFonts w:ascii="Times New Roman" w:hAnsi="Times New Roman" w:hint="eastAsia"/>
          <w:color w:val="000000" w:themeColor="text1"/>
        </w:rPr>
        <w:t>每位学生最多可提出申请转专业一次。</w:t>
      </w:r>
    </w:p>
    <w:p w:rsidR="00D40F5C" w:rsidRDefault="00D40F5C">
      <w:pPr>
        <w:pStyle w:val="10"/>
        <w:ind w:left="780" w:firstLineChars="0" w:firstLine="0"/>
        <w:rPr>
          <w:rFonts w:ascii="宋体" w:hAnsi="宋体" w:cs="Calibri"/>
          <w:bCs/>
          <w:color w:val="000000"/>
          <w:szCs w:val="24"/>
          <w:u w:color="FF00FF"/>
        </w:rPr>
      </w:pPr>
    </w:p>
    <w:p w:rsidR="00D40F5C" w:rsidRDefault="00D720D0">
      <w:pPr>
        <w:pStyle w:val="10"/>
        <w:ind w:left="420" w:firstLineChars="0" w:firstLine="0"/>
        <w:rPr>
          <w:rFonts w:ascii="宋体" w:hAnsi="宋体" w:cs="Calibri"/>
          <w:b/>
          <w:bCs/>
          <w:color w:val="000000"/>
          <w:szCs w:val="24"/>
          <w:u w:color="FF00FF"/>
        </w:rPr>
      </w:pPr>
      <w:r>
        <w:rPr>
          <w:rFonts w:ascii="Times New Roman" w:hAnsi="Times New Roman" w:hint="eastAsia"/>
          <w:b/>
          <w:bCs/>
        </w:rPr>
        <w:t>第二条</w:t>
      </w:r>
      <w:r>
        <w:rPr>
          <w:rFonts w:ascii="Times New Roman" w:hAnsi="Times New Roman" w:hint="eastAsia"/>
          <w:b/>
          <w:bCs/>
        </w:rPr>
        <w:t xml:space="preserve"> </w:t>
      </w:r>
      <w:r>
        <w:rPr>
          <w:rFonts w:ascii="Times New Roman" w:hAnsi="Times New Roman"/>
          <w:b/>
          <w:bCs/>
        </w:rPr>
        <w:t xml:space="preserve"> </w:t>
      </w:r>
      <w:r>
        <w:rPr>
          <w:rFonts w:ascii="宋体" w:hAnsi="宋体" w:cs="Calibri" w:hint="eastAsia"/>
          <w:b/>
          <w:bCs/>
          <w:color w:val="000000"/>
          <w:szCs w:val="24"/>
          <w:u w:color="FF00FF"/>
        </w:rPr>
        <w:t>转专业录取名额</w:t>
      </w:r>
    </w:p>
    <w:p w:rsidR="00D40F5C" w:rsidRDefault="00D720D0">
      <w:pPr>
        <w:pStyle w:val="10"/>
        <w:ind w:left="420" w:firstLineChars="0" w:firstLine="0"/>
        <w:rPr>
          <w:rFonts w:ascii="宋体" w:hAnsi="宋体" w:cs="Calibri"/>
          <w:b/>
          <w:bCs/>
          <w:color w:val="000000" w:themeColor="text1"/>
          <w:szCs w:val="24"/>
          <w:u w:color="FF00FF"/>
        </w:rPr>
      </w:pPr>
      <w:r>
        <w:rPr>
          <w:rFonts w:ascii="宋体" w:hAnsi="宋体" w:cs="宋体"/>
          <w:color w:val="000000" w:themeColor="text1"/>
          <w:kern w:val="0"/>
          <w:szCs w:val="24"/>
        </w:rPr>
        <w:t>为保障</w:t>
      </w:r>
      <w:r>
        <w:rPr>
          <w:rFonts w:ascii="宋体" w:hAnsi="宋体" w:cs="宋体" w:hint="eastAsia"/>
          <w:color w:val="000000" w:themeColor="text1"/>
          <w:kern w:val="0"/>
          <w:szCs w:val="24"/>
        </w:rPr>
        <w:t>各</w:t>
      </w:r>
      <w:r>
        <w:rPr>
          <w:rFonts w:ascii="宋体" w:hAnsi="宋体" w:cs="宋体"/>
          <w:color w:val="000000" w:themeColor="text1"/>
          <w:kern w:val="0"/>
          <w:szCs w:val="24"/>
        </w:rPr>
        <w:t>学科协调发展，</w:t>
      </w:r>
      <w:r>
        <w:rPr>
          <w:rFonts w:cs="宋体" w:hint="eastAsia"/>
          <w:color w:val="000000" w:themeColor="text1"/>
        </w:rPr>
        <w:t>一年级</w:t>
      </w:r>
      <w:r>
        <w:rPr>
          <w:rFonts w:ascii="宋体" w:hAnsi="宋体" w:cs="宋体"/>
          <w:color w:val="000000" w:themeColor="text1"/>
          <w:kern w:val="0"/>
          <w:szCs w:val="24"/>
        </w:rPr>
        <w:t>转入</w:t>
      </w:r>
      <w:r>
        <w:rPr>
          <w:rFonts w:ascii="宋体" w:hAnsi="宋体" w:cs="宋体" w:hint="eastAsia"/>
          <w:color w:val="000000" w:themeColor="text1"/>
          <w:kern w:val="0"/>
          <w:szCs w:val="24"/>
        </w:rPr>
        <w:t>转出</w:t>
      </w:r>
      <w:r>
        <w:rPr>
          <w:rFonts w:ascii="宋体" w:hAnsi="宋体" w:cs="宋体"/>
          <w:color w:val="000000" w:themeColor="text1"/>
          <w:kern w:val="0"/>
          <w:szCs w:val="24"/>
        </w:rPr>
        <w:t>比例原则上不超过本年级本专业</w:t>
      </w:r>
      <w:r>
        <w:rPr>
          <w:rFonts w:ascii="宋体" w:hAnsi="宋体" w:cs="宋体" w:hint="eastAsia"/>
          <w:color w:val="000000" w:themeColor="text1"/>
          <w:kern w:val="0"/>
          <w:szCs w:val="24"/>
        </w:rPr>
        <w:t>招生总</w:t>
      </w:r>
      <w:r>
        <w:rPr>
          <w:rFonts w:ascii="宋体" w:hAnsi="宋体" w:cs="宋体"/>
          <w:color w:val="000000" w:themeColor="text1"/>
          <w:kern w:val="0"/>
          <w:szCs w:val="24"/>
        </w:rPr>
        <w:t>人数</w:t>
      </w:r>
      <w:r>
        <w:rPr>
          <w:rFonts w:ascii="宋体" w:hAnsi="宋体" w:cs="宋体" w:hint="eastAsia"/>
          <w:color w:val="000000" w:themeColor="text1"/>
          <w:kern w:val="0"/>
          <w:szCs w:val="24"/>
        </w:rPr>
        <w:t>的10%，</w:t>
      </w:r>
      <w:r>
        <w:rPr>
          <w:rFonts w:cs="宋体" w:hint="eastAsia"/>
          <w:color w:val="000000" w:themeColor="text1"/>
        </w:rPr>
        <w:t>二年级控制在</w:t>
      </w:r>
      <w:r>
        <w:rPr>
          <w:rFonts w:hint="eastAsia"/>
          <w:color w:val="000000" w:themeColor="text1"/>
          <w:shd w:val="clear" w:color="auto" w:fill="FFFFFF"/>
        </w:rPr>
        <w:t>5</w:t>
      </w:r>
      <w:r>
        <w:rPr>
          <w:color w:val="000000" w:themeColor="text1"/>
          <w:shd w:val="clear" w:color="auto" w:fill="FFFFFF"/>
        </w:rPr>
        <w:t>%</w:t>
      </w:r>
      <w:r>
        <w:rPr>
          <w:rFonts w:cs="宋体" w:hint="eastAsia"/>
          <w:color w:val="000000" w:themeColor="text1"/>
        </w:rPr>
        <w:t>以内。</w:t>
      </w:r>
    </w:p>
    <w:p w:rsidR="00D40F5C" w:rsidRDefault="00D40F5C">
      <w:pPr>
        <w:ind w:firstLine="480"/>
        <w:rPr>
          <w:rFonts w:ascii="Times New Roman" w:hAnsi="Times New Roman"/>
        </w:rPr>
      </w:pPr>
    </w:p>
    <w:p w:rsidR="00D40F5C" w:rsidRDefault="00D720D0">
      <w:pPr>
        <w:ind w:firstLine="480"/>
        <w:rPr>
          <w:rFonts w:ascii="Times New Roman" w:hAnsi="Times New Roman"/>
          <w:b/>
          <w:bCs/>
        </w:rPr>
      </w:pPr>
      <w:r>
        <w:rPr>
          <w:rFonts w:ascii="Times New Roman" w:hAnsi="Times New Roman" w:hint="eastAsia"/>
          <w:b/>
          <w:bCs/>
        </w:rPr>
        <w:t>第三条</w:t>
      </w:r>
      <w:r>
        <w:rPr>
          <w:rFonts w:ascii="Times New Roman" w:hAnsi="Times New Roman"/>
          <w:b/>
          <w:bCs/>
        </w:rPr>
        <w:t xml:space="preserve">  </w:t>
      </w:r>
      <w:r>
        <w:rPr>
          <w:rFonts w:ascii="Times New Roman" w:hAnsi="Times New Roman" w:hint="eastAsia"/>
          <w:b/>
          <w:bCs/>
        </w:rPr>
        <w:t>转专业实施办法</w:t>
      </w:r>
    </w:p>
    <w:p w:rsidR="00D40F5C" w:rsidRDefault="00D720D0">
      <w:pPr>
        <w:ind w:firstLine="480"/>
        <w:rPr>
          <w:rFonts w:ascii="Times New Roman" w:hAnsi="Times New Roman"/>
        </w:rPr>
      </w:pPr>
      <w:r>
        <w:rPr>
          <w:rFonts w:ascii="Times New Roman" w:hAnsi="Times New Roman" w:hint="eastAsia"/>
        </w:rPr>
        <w:t>1</w:t>
      </w:r>
      <w:r>
        <w:rPr>
          <w:rFonts w:ascii="Times New Roman" w:hAnsi="Times New Roman" w:hint="eastAsia"/>
        </w:rPr>
        <w:t>、转专业工作必须本着公平、公正、公开的原则进行，具体实施办法和时间节点按学校的统一要求进行；</w:t>
      </w:r>
    </w:p>
    <w:p w:rsidR="00D40F5C" w:rsidRDefault="00D720D0">
      <w:pPr>
        <w:ind w:firstLine="480"/>
        <w:rPr>
          <w:rFonts w:ascii="Times New Roman" w:hAnsi="Times New Roman"/>
        </w:rPr>
      </w:pPr>
      <w:r>
        <w:rPr>
          <w:rFonts w:ascii="Times New Roman" w:hAnsi="Times New Roman" w:hint="eastAsia"/>
        </w:rPr>
        <w:t>2</w:t>
      </w:r>
      <w:r>
        <w:rPr>
          <w:rFonts w:ascii="Times New Roman" w:hAnsi="Times New Roman" w:hint="eastAsia"/>
        </w:rPr>
        <w:t>、学院成立本科生转专业工作领导小组，负责本学院转专业工作。学院安排专门老师为学生提供转专业咨询；</w:t>
      </w:r>
    </w:p>
    <w:p w:rsidR="00D40F5C" w:rsidRDefault="00D720D0">
      <w:pPr>
        <w:ind w:firstLine="480"/>
        <w:rPr>
          <w:rFonts w:ascii="Times New Roman" w:hAnsi="Times New Roman"/>
        </w:rPr>
      </w:pPr>
      <w:r>
        <w:rPr>
          <w:rFonts w:ascii="Times New Roman" w:hAnsi="Times New Roman" w:hint="eastAsia"/>
        </w:rPr>
        <w:t>3</w:t>
      </w:r>
      <w:r>
        <w:rPr>
          <w:rFonts w:ascii="Times New Roman" w:hAnsi="Times New Roman" w:hint="eastAsia"/>
        </w:rPr>
        <w:t>、学院转专业领导工作小组应对拟转出和转入的申请人进行严格审核，对于不符合转</w:t>
      </w:r>
      <w:r>
        <w:rPr>
          <w:rFonts w:ascii="Times New Roman" w:hAnsi="Times New Roman" w:hint="eastAsia"/>
        </w:rPr>
        <w:lastRenderedPageBreak/>
        <w:t>专业条件和不满足转专业要求的申请人，不予同意和批准其转专业申请；</w:t>
      </w:r>
    </w:p>
    <w:p w:rsidR="00D40F5C" w:rsidRDefault="00D720D0">
      <w:pPr>
        <w:ind w:firstLine="480"/>
        <w:rPr>
          <w:rFonts w:ascii="Times New Roman" w:hAnsi="Times New Roman"/>
        </w:rPr>
      </w:pPr>
      <w:r>
        <w:rPr>
          <w:rFonts w:ascii="Times New Roman" w:hAnsi="Times New Roman" w:hint="eastAsia"/>
        </w:rPr>
        <w:t>4</w:t>
      </w:r>
      <w:r>
        <w:rPr>
          <w:rFonts w:ascii="Times New Roman" w:hAnsi="Times New Roman" w:hint="eastAsia"/>
        </w:rPr>
        <w:t>、学院对申请转入专业学生进行面试和全面考核，将考核结果通过学院网、教务网进行公示，经学院本科生转专业工作领导小组审核确定拟接收转专业名单并报教务处（注：转专业名单需学生本人签字确认）；</w:t>
      </w:r>
    </w:p>
    <w:p w:rsidR="00F60650" w:rsidRDefault="00D720D0">
      <w:pPr>
        <w:pStyle w:val="10"/>
        <w:ind w:left="420" w:firstLineChars="0" w:firstLine="0"/>
        <w:rPr>
          <w:rFonts w:ascii="Times New Roman" w:hAnsi="Times New Roman"/>
        </w:rPr>
      </w:pPr>
      <w:r>
        <w:rPr>
          <w:rFonts w:ascii="Times New Roman" w:hAnsi="Times New Roman" w:hint="eastAsia"/>
        </w:rPr>
        <w:t>5</w:t>
      </w:r>
      <w:r>
        <w:rPr>
          <w:rFonts w:ascii="Times New Roman" w:hAnsi="Times New Roman" w:hint="eastAsia"/>
        </w:rPr>
        <w:t>、</w:t>
      </w:r>
      <w:r>
        <w:rPr>
          <w:rFonts w:ascii="Times New Roman" w:hAnsi="Times New Roman"/>
        </w:rPr>
        <w:t xml:space="preserve"> </w:t>
      </w:r>
      <w:r>
        <w:rPr>
          <w:rFonts w:ascii="Times New Roman" w:hAnsi="Times New Roman" w:hint="eastAsia"/>
        </w:rPr>
        <w:t>学院在转</w:t>
      </w:r>
      <w:r w:rsidR="00F60650">
        <w:rPr>
          <w:rFonts w:ascii="Times New Roman" w:hAnsi="Times New Roman" w:hint="eastAsia"/>
        </w:rPr>
        <w:t>专业名单公布之日起，做好学生接收工作，并安排导师负责对转入学生的</w:t>
      </w:r>
    </w:p>
    <w:p w:rsidR="00D40F5C" w:rsidRDefault="00D720D0" w:rsidP="00F60650">
      <w:pPr>
        <w:pStyle w:val="10"/>
        <w:ind w:firstLineChars="0" w:firstLine="0"/>
        <w:rPr>
          <w:rFonts w:ascii="Times New Roman" w:hAnsi="Times New Roman"/>
        </w:rPr>
      </w:pPr>
      <w:r>
        <w:rPr>
          <w:rFonts w:ascii="Times New Roman" w:hAnsi="Times New Roman" w:hint="eastAsia"/>
        </w:rPr>
        <w:t>培养方</w:t>
      </w:r>
      <w:r w:rsidR="00F60650">
        <w:rPr>
          <w:rFonts w:ascii="Times New Roman" w:hAnsi="Times New Roman" w:hint="eastAsia"/>
        </w:rPr>
        <w:t>案、课程认定、补修课程、选课等进行指导。</w:t>
      </w:r>
    </w:p>
    <w:p w:rsidR="00D40F5C" w:rsidRPr="00F60650" w:rsidRDefault="00F60650" w:rsidP="00F60650">
      <w:pPr>
        <w:pStyle w:val="10"/>
        <w:ind w:firstLineChars="0" w:firstLine="0"/>
        <w:rPr>
          <w:rFonts w:ascii="宋体" w:hAnsi="宋体" w:cs="Calibri"/>
          <w:b/>
          <w:bCs/>
          <w:color w:val="000000"/>
          <w:szCs w:val="24"/>
          <w:u w:color="FF00FF"/>
        </w:rPr>
      </w:pPr>
      <w:r>
        <w:rPr>
          <w:rFonts w:ascii="Times New Roman" w:hAnsi="Times New Roman" w:hint="eastAsia"/>
        </w:rPr>
        <w:t xml:space="preserve">    </w:t>
      </w:r>
      <w:r>
        <w:rPr>
          <w:rFonts w:ascii="Times New Roman" w:hAnsi="Times New Roman" w:hint="eastAsia"/>
        </w:rPr>
        <w:t>注：本细则最终解释权归物理科学与技术学院转专业工作领导小组。</w:t>
      </w:r>
    </w:p>
    <w:p w:rsidR="00D40F5C" w:rsidRDefault="00D720D0">
      <w:pPr>
        <w:widowControl/>
        <w:spacing w:before="240" w:after="60" w:line="312" w:lineRule="auto"/>
        <w:jc w:val="center"/>
        <w:rPr>
          <w:szCs w:val="24"/>
        </w:rPr>
      </w:pPr>
      <w:r>
        <w:rPr>
          <w:rFonts w:hint="eastAsia"/>
          <w:szCs w:val="24"/>
        </w:rPr>
        <w:t>附</w:t>
      </w:r>
      <w:r>
        <w:rPr>
          <w:szCs w:val="24"/>
        </w:rPr>
        <w:t>：</w:t>
      </w:r>
      <w:r>
        <w:rPr>
          <w:rFonts w:hint="eastAsia"/>
          <w:szCs w:val="24"/>
        </w:rPr>
        <w:t>转专业</w:t>
      </w:r>
      <w:r>
        <w:rPr>
          <w:szCs w:val="24"/>
        </w:rPr>
        <w:t>准入课程明细</w:t>
      </w:r>
    </w:p>
    <w:tbl>
      <w:tblPr>
        <w:tblStyle w:val="a5"/>
        <w:tblW w:w="8755" w:type="dxa"/>
        <w:tblLayout w:type="fixed"/>
        <w:tblLook w:val="04A0" w:firstRow="1" w:lastRow="0" w:firstColumn="1" w:lastColumn="0" w:noHBand="0" w:noVBand="1"/>
      </w:tblPr>
      <w:tblGrid>
        <w:gridCol w:w="1242"/>
        <w:gridCol w:w="1560"/>
        <w:gridCol w:w="2296"/>
        <w:gridCol w:w="851"/>
        <w:gridCol w:w="1247"/>
        <w:gridCol w:w="1559"/>
      </w:tblGrid>
      <w:tr w:rsidR="00D40F5C">
        <w:tc>
          <w:tcPr>
            <w:tcW w:w="1242" w:type="dxa"/>
            <w:vAlign w:val="center"/>
          </w:tcPr>
          <w:p w:rsidR="00D40F5C" w:rsidRDefault="00D720D0">
            <w:pPr>
              <w:widowControl/>
              <w:rPr>
                <w:kern w:val="0"/>
                <w:sz w:val="20"/>
                <w:szCs w:val="24"/>
              </w:rPr>
            </w:pPr>
            <w:r>
              <w:rPr>
                <w:rFonts w:hint="eastAsia"/>
                <w:kern w:val="0"/>
                <w:sz w:val="20"/>
                <w:szCs w:val="24"/>
              </w:rPr>
              <w:t>学院</w:t>
            </w:r>
          </w:p>
        </w:tc>
        <w:tc>
          <w:tcPr>
            <w:tcW w:w="1560" w:type="dxa"/>
            <w:vAlign w:val="center"/>
          </w:tcPr>
          <w:p w:rsidR="00D40F5C" w:rsidRDefault="00D720D0">
            <w:pPr>
              <w:widowControl/>
              <w:rPr>
                <w:kern w:val="0"/>
                <w:sz w:val="20"/>
                <w:szCs w:val="24"/>
              </w:rPr>
            </w:pPr>
            <w:r>
              <w:rPr>
                <w:rFonts w:hint="eastAsia"/>
                <w:kern w:val="0"/>
                <w:sz w:val="20"/>
                <w:szCs w:val="24"/>
              </w:rPr>
              <w:t>专业</w:t>
            </w:r>
          </w:p>
        </w:tc>
        <w:tc>
          <w:tcPr>
            <w:tcW w:w="2296" w:type="dxa"/>
            <w:vAlign w:val="center"/>
          </w:tcPr>
          <w:p w:rsidR="00D40F5C" w:rsidRDefault="00D720D0">
            <w:pPr>
              <w:widowControl/>
              <w:rPr>
                <w:kern w:val="0"/>
                <w:sz w:val="20"/>
                <w:szCs w:val="24"/>
              </w:rPr>
            </w:pPr>
            <w:r>
              <w:rPr>
                <w:rFonts w:hint="eastAsia"/>
                <w:kern w:val="0"/>
                <w:sz w:val="20"/>
                <w:szCs w:val="24"/>
              </w:rPr>
              <w:t>准入课程</w:t>
            </w:r>
            <w:r>
              <w:rPr>
                <w:kern w:val="0"/>
                <w:sz w:val="20"/>
                <w:szCs w:val="24"/>
              </w:rPr>
              <w:t>名称</w:t>
            </w:r>
          </w:p>
        </w:tc>
        <w:tc>
          <w:tcPr>
            <w:tcW w:w="851" w:type="dxa"/>
            <w:vAlign w:val="center"/>
          </w:tcPr>
          <w:p w:rsidR="00D40F5C" w:rsidRDefault="00D720D0">
            <w:pPr>
              <w:widowControl/>
              <w:rPr>
                <w:kern w:val="0"/>
                <w:sz w:val="20"/>
                <w:szCs w:val="24"/>
              </w:rPr>
            </w:pPr>
            <w:r>
              <w:rPr>
                <w:rFonts w:hint="eastAsia"/>
                <w:kern w:val="0"/>
                <w:sz w:val="20"/>
                <w:szCs w:val="24"/>
              </w:rPr>
              <w:t>课程学分</w:t>
            </w:r>
          </w:p>
        </w:tc>
        <w:tc>
          <w:tcPr>
            <w:tcW w:w="1247" w:type="dxa"/>
            <w:vAlign w:val="center"/>
          </w:tcPr>
          <w:p w:rsidR="00D40F5C" w:rsidRDefault="00D720D0">
            <w:pPr>
              <w:widowControl/>
              <w:jc w:val="center"/>
              <w:rPr>
                <w:kern w:val="0"/>
                <w:sz w:val="20"/>
                <w:szCs w:val="24"/>
              </w:rPr>
            </w:pPr>
            <w:r>
              <w:rPr>
                <w:rFonts w:hint="eastAsia"/>
                <w:kern w:val="0"/>
                <w:sz w:val="20"/>
                <w:szCs w:val="24"/>
              </w:rPr>
              <w:t>课程代码</w:t>
            </w:r>
          </w:p>
        </w:tc>
        <w:tc>
          <w:tcPr>
            <w:tcW w:w="1559" w:type="dxa"/>
            <w:vAlign w:val="center"/>
          </w:tcPr>
          <w:p w:rsidR="00D40F5C" w:rsidRDefault="00D720D0">
            <w:pPr>
              <w:widowControl/>
              <w:rPr>
                <w:kern w:val="0"/>
                <w:sz w:val="20"/>
                <w:szCs w:val="24"/>
              </w:rPr>
            </w:pPr>
            <w:r>
              <w:rPr>
                <w:rFonts w:hint="eastAsia"/>
                <w:kern w:val="0"/>
                <w:sz w:val="20"/>
                <w:szCs w:val="24"/>
              </w:rPr>
              <w:t>备注</w:t>
            </w:r>
          </w:p>
        </w:tc>
      </w:tr>
      <w:tr w:rsidR="00D40F5C">
        <w:tc>
          <w:tcPr>
            <w:tcW w:w="1242"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物理学院</w:t>
            </w:r>
          </w:p>
        </w:tc>
        <w:tc>
          <w:tcPr>
            <w:tcW w:w="1560"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应用物理学</w:t>
            </w:r>
          </w:p>
        </w:tc>
        <w:tc>
          <w:tcPr>
            <w:tcW w:w="2296"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英语</w:t>
            </w:r>
            <w:r>
              <w:rPr>
                <w:rFonts w:ascii="Cambria" w:hAnsi="Cambria" w:hint="eastAsia"/>
                <w:b/>
                <w:bCs/>
                <w:kern w:val="28"/>
                <w:sz w:val="20"/>
                <w:szCs w:val="24"/>
              </w:rPr>
              <w:t>I</w:t>
            </w:r>
          </w:p>
        </w:tc>
        <w:tc>
          <w:tcPr>
            <w:tcW w:w="851"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4</w:t>
            </w:r>
          </w:p>
        </w:tc>
        <w:tc>
          <w:tcPr>
            <w:tcW w:w="1247"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8010210</w:t>
            </w:r>
          </w:p>
        </w:tc>
        <w:tc>
          <w:tcPr>
            <w:tcW w:w="1559"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及格以上</w:t>
            </w:r>
          </w:p>
        </w:tc>
      </w:tr>
      <w:tr w:rsidR="00D40F5C">
        <w:tc>
          <w:tcPr>
            <w:tcW w:w="1242"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物理学院</w:t>
            </w:r>
          </w:p>
        </w:tc>
        <w:tc>
          <w:tcPr>
            <w:tcW w:w="1560"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应用物理学</w:t>
            </w:r>
          </w:p>
        </w:tc>
        <w:tc>
          <w:tcPr>
            <w:tcW w:w="2296"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英语</w:t>
            </w:r>
            <w:r>
              <w:rPr>
                <w:rFonts w:ascii="Cambria" w:hAnsi="Cambria" w:hint="eastAsia"/>
                <w:b/>
                <w:bCs/>
                <w:kern w:val="28"/>
                <w:sz w:val="20"/>
                <w:szCs w:val="24"/>
              </w:rPr>
              <w:t>II</w:t>
            </w:r>
          </w:p>
        </w:tc>
        <w:tc>
          <w:tcPr>
            <w:tcW w:w="851"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4</w:t>
            </w:r>
          </w:p>
        </w:tc>
        <w:tc>
          <w:tcPr>
            <w:tcW w:w="1247"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8010220</w:t>
            </w:r>
          </w:p>
        </w:tc>
        <w:tc>
          <w:tcPr>
            <w:tcW w:w="1559"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及格以上</w:t>
            </w:r>
          </w:p>
        </w:tc>
      </w:tr>
      <w:tr w:rsidR="00D40F5C">
        <w:tc>
          <w:tcPr>
            <w:tcW w:w="1242"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物理学院</w:t>
            </w:r>
          </w:p>
        </w:tc>
        <w:tc>
          <w:tcPr>
            <w:tcW w:w="1560"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应用物理学</w:t>
            </w:r>
          </w:p>
        </w:tc>
        <w:tc>
          <w:tcPr>
            <w:tcW w:w="2296"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高等数学</w:t>
            </w:r>
            <w:r>
              <w:rPr>
                <w:rFonts w:ascii="Cambria" w:hAnsi="Cambria" w:hint="eastAsia"/>
                <w:b/>
                <w:bCs/>
                <w:kern w:val="28"/>
                <w:sz w:val="20"/>
                <w:szCs w:val="24"/>
              </w:rPr>
              <w:t>AI</w:t>
            </w:r>
          </w:p>
        </w:tc>
        <w:tc>
          <w:tcPr>
            <w:tcW w:w="851"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6</w:t>
            </w:r>
          </w:p>
        </w:tc>
        <w:tc>
          <w:tcPr>
            <w:tcW w:w="1247"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6041710</w:t>
            </w:r>
          </w:p>
        </w:tc>
        <w:tc>
          <w:tcPr>
            <w:tcW w:w="1559"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及格以上</w:t>
            </w:r>
          </w:p>
        </w:tc>
      </w:tr>
      <w:tr w:rsidR="00D40F5C">
        <w:tc>
          <w:tcPr>
            <w:tcW w:w="1242"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物理学院</w:t>
            </w:r>
          </w:p>
        </w:tc>
        <w:tc>
          <w:tcPr>
            <w:tcW w:w="1560"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应用物理学</w:t>
            </w:r>
          </w:p>
        </w:tc>
        <w:tc>
          <w:tcPr>
            <w:tcW w:w="2296"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高等数学</w:t>
            </w:r>
            <w:r>
              <w:rPr>
                <w:rFonts w:ascii="Cambria" w:hAnsi="Cambria" w:hint="eastAsia"/>
                <w:b/>
                <w:bCs/>
                <w:kern w:val="28"/>
                <w:sz w:val="20"/>
                <w:szCs w:val="24"/>
              </w:rPr>
              <w:t>AII</w:t>
            </w:r>
          </w:p>
        </w:tc>
        <w:tc>
          <w:tcPr>
            <w:tcW w:w="851"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6</w:t>
            </w:r>
          </w:p>
        </w:tc>
        <w:tc>
          <w:tcPr>
            <w:tcW w:w="1247"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6041720</w:t>
            </w:r>
          </w:p>
        </w:tc>
        <w:tc>
          <w:tcPr>
            <w:tcW w:w="1559"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及格以上</w:t>
            </w:r>
          </w:p>
        </w:tc>
      </w:tr>
      <w:tr w:rsidR="00D40F5C">
        <w:tc>
          <w:tcPr>
            <w:tcW w:w="1242"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物理学院</w:t>
            </w:r>
          </w:p>
        </w:tc>
        <w:tc>
          <w:tcPr>
            <w:tcW w:w="1560"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应用物理学</w:t>
            </w:r>
          </w:p>
        </w:tc>
        <w:tc>
          <w:tcPr>
            <w:tcW w:w="2296"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大学物理</w:t>
            </w:r>
            <w:r>
              <w:rPr>
                <w:rFonts w:ascii="Cambria" w:hAnsi="Cambria" w:hint="eastAsia"/>
                <w:b/>
                <w:bCs/>
                <w:kern w:val="28"/>
                <w:sz w:val="20"/>
                <w:szCs w:val="24"/>
              </w:rPr>
              <w:t>AI</w:t>
            </w:r>
          </w:p>
        </w:tc>
        <w:tc>
          <w:tcPr>
            <w:tcW w:w="851"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4</w:t>
            </w:r>
          </w:p>
        </w:tc>
        <w:tc>
          <w:tcPr>
            <w:tcW w:w="1247"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6111010</w:t>
            </w:r>
          </w:p>
        </w:tc>
        <w:tc>
          <w:tcPr>
            <w:tcW w:w="1559"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及格以上</w:t>
            </w:r>
          </w:p>
        </w:tc>
      </w:tr>
      <w:tr w:rsidR="00D40F5C">
        <w:tc>
          <w:tcPr>
            <w:tcW w:w="1242"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物理学院</w:t>
            </w:r>
          </w:p>
        </w:tc>
        <w:tc>
          <w:tcPr>
            <w:tcW w:w="1560" w:type="dxa"/>
          </w:tcPr>
          <w:p w:rsidR="00D40F5C" w:rsidRDefault="00D720D0">
            <w:pPr>
              <w:widowControl/>
              <w:rPr>
                <w:rFonts w:ascii="Cambria" w:hAnsi="Cambria"/>
                <w:b/>
                <w:bCs/>
                <w:kern w:val="28"/>
                <w:sz w:val="20"/>
                <w:szCs w:val="24"/>
              </w:rPr>
            </w:pPr>
            <w:r>
              <w:rPr>
                <w:rFonts w:ascii="Cambria" w:hAnsi="Cambria"/>
                <w:b/>
                <w:bCs/>
                <w:kern w:val="28"/>
                <w:sz w:val="20"/>
                <w:szCs w:val="24"/>
              </w:rPr>
              <w:t>电子信息科学与技术</w:t>
            </w:r>
          </w:p>
        </w:tc>
        <w:tc>
          <w:tcPr>
            <w:tcW w:w="2296" w:type="dxa"/>
          </w:tcPr>
          <w:p w:rsidR="00D40F5C" w:rsidRDefault="00D720D0">
            <w:pPr>
              <w:widowControl/>
              <w:rPr>
                <w:rFonts w:ascii="Cambria" w:hAnsi="Cambria"/>
                <w:b/>
                <w:bCs/>
                <w:kern w:val="28"/>
                <w:sz w:val="20"/>
                <w:szCs w:val="24"/>
              </w:rPr>
            </w:pPr>
            <w:r>
              <w:rPr>
                <w:rFonts w:ascii="Cambria" w:hAnsi="Cambria"/>
                <w:b/>
                <w:bCs/>
                <w:kern w:val="28"/>
                <w:sz w:val="20"/>
                <w:szCs w:val="24"/>
              </w:rPr>
              <w:t>高等数学</w:t>
            </w:r>
          </w:p>
        </w:tc>
        <w:tc>
          <w:tcPr>
            <w:tcW w:w="851"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4</w:t>
            </w:r>
          </w:p>
        </w:tc>
        <w:tc>
          <w:tcPr>
            <w:tcW w:w="1247"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6010220</w:t>
            </w:r>
          </w:p>
        </w:tc>
        <w:tc>
          <w:tcPr>
            <w:tcW w:w="1559" w:type="dxa"/>
          </w:tcPr>
          <w:p w:rsidR="00D40F5C" w:rsidRDefault="00F60650">
            <w:pPr>
              <w:widowControl/>
              <w:rPr>
                <w:rFonts w:ascii="Cambria" w:hAnsi="Cambria"/>
                <w:b/>
                <w:bCs/>
                <w:kern w:val="28"/>
                <w:sz w:val="20"/>
                <w:szCs w:val="24"/>
              </w:rPr>
            </w:pPr>
            <w:r>
              <w:rPr>
                <w:rFonts w:ascii="Cambria" w:hAnsi="Cambria" w:hint="eastAsia"/>
                <w:b/>
                <w:bCs/>
                <w:kern w:val="28"/>
                <w:sz w:val="20"/>
                <w:szCs w:val="24"/>
              </w:rPr>
              <w:t>及格以上</w:t>
            </w:r>
          </w:p>
        </w:tc>
      </w:tr>
      <w:tr w:rsidR="00D40F5C">
        <w:tc>
          <w:tcPr>
            <w:tcW w:w="1242"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物理学院</w:t>
            </w:r>
          </w:p>
        </w:tc>
        <w:tc>
          <w:tcPr>
            <w:tcW w:w="1560" w:type="dxa"/>
          </w:tcPr>
          <w:p w:rsidR="00D40F5C" w:rsidRDefault="00D720D0">
            <w:pPr>
              <w:widowControl/>
              <w:rPr>
                <w:rFonts w:ascii="Cambria" w:hAnsi="Cambria"/>
                <w:b/>
                <w:bCs/>
                <w:kern w:val="28"/>
                <w:sz w:val="20"/>
                <w:szCs w:val="24"/>
              </w:rPr>
            </w:pPr>
            <w:r>
              <w:rPr>
                <w:rFonts w:ascii="Cambria" w:hAnsi="Cambria"/>
                <w:b/>
                <w:bCs/>
                <w:kern w:val="28"/>
                <w:sz w:val="20"/>
                <w:szCs w:val="24"/>
              </w:rPr>
              <w:t>电子信息科学与技术</w:t>
            </w:r>
          </w:p>
        </w:tc>
        <w:tc>
          <w:tcPr>
            <w:tcW w:w="2296" w:type="dxa"/>
          </w:tcPr>
          <w:p w:rsidR="00D40F5C" w:rsidRDefault="00D720D0">
            <w:pPr>
              <w:widowControl/>
              <w:rPr>
                <w:rFonts w:ascii="Cambria" w:hAnsi="Cambria"/>
                <w:b/>
                <w:bCs/>
                <w:kern w:val="28"/>
                <w:sz w:val="20"/>
                <w:szCs w:val="24"/>
              </w:rPr>
            </w:pPr>
            <w:r>
              <w:rPr>
                <w:rFonts w:ascii="Cambria" w:hAnsi="Cambria"/>
                <w:b/>
                <w:bCs/>
                <w:kern w:val="28"/>
                <w:sz w:val="20"/>
                <w:szCs w:val="24"/>
              </w:rPr>
              <w:t>线性代数</w:t>
            </w:r>
          </w:p>
        </w:tc>
        <w:tc>
          <w:tcPr>
            <w:tcW w:w="851"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3</w:t>
            </w:r>
          </w:p>
        </w:tc>
        <w:tc>
          <w:tcPr>
            <w:tcW w:w="1247"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6041340</w:t>
            </w:r>
          </w:p>
        </w:tc>
        <w:tc>
          <w:tcPr>
            <w:tcW w:w="1559" w:type="dxa"/>
          </w:tcPr>
          <w:p w:rsidR="00D40F5C" w:rsidRDefault="00F60650">
            <w:pPr>
              <w:widowControl/>
              <w:rPr>
                <w:rFonts w:ascii="Cambria" w:hAnsi="Cambria"/>
                <w:b/>
                <w:bCs/>
                <w:kern w:val="28"/>
                <w:sz w:val="20"/>
                <w:szCs w:val="24"/>
              </w:rPr>
            </w:pPr>
            <w:r>
              <w:rPr>
                <w:rFonts w:ascii="Cambria" w:hAnsi="Cambria" w:hint="eastAsia"/>
                <w:b/>
                <w:bCs/>
                <w:kern w:val="28"/>
                <w:sz w:val="20"/>
                <w:szCs w:val="24"/>
              </w:rPr>
              <w:t>及格以上</w:t>
            </w:r>
          </w:p>
        </w:tc>
      </w:tr>
      <w:tr w:rsidR="00D40F5C">
        <w:tc>
          <w:tcPr>
            <w:tcW w:w="1242"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物理学院</w:t>
            </w:r>
          </w:p>
        </w:tc>
        <w:tc>
          <w:tcPr>
            <w:tcW w:w="1560" w:type="dxa"/>
          </w:tcPr>
          <w:p w:rsidR="00D40F5C" w:rsidRDefault="00D720D0">
            <w:pPr>
              <w:widowControl/>
              <w:rPr>
                <w:rFonts w:ascii="Cambria" w:hAnsi="Cambria"/>
                <w:b/>
                <w:bCs/>
                <w:kern w:val="28"/>
                <w:sz w:val="20"/>
                <w:szCs w:val="24"/>
              </w:rPr>
            </w:pPr>
            <w:r>
              <w:rPr>
                <w:rFonts w:ascii="Cambria" w:hAnsi="Cambria"/>
                <w:b/>
                <w:bCs/>
                <w:kern w:val="28"/>
                <w:sz w:val="20"/>
                <w:szCs w:val="24"/>
              </w:rPr>
              <w:t>电子信息科学与技术</w:t>
            </w:r>
          </w:p>
        </w:tc>
        <w:tc>
          <w:tcPr>
            <w:tcW w:w="2296"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概率</w:t>
            </w:r>
            <w:r>
              <w:rPr>
                <w:rFonts w:ascii="Cambria" w:hAnsi="Cambria"/>
                <w:b/>
                <w:bCs/>
                <w:kern w:val="28"/>
                <w:sz w:val="20"/>
                <w:szCs w:val="24"/>
              </w:rPr>
              <w:t>与数理统计</w:t>
            </w:r>
          </w:p>
        </w:tc>
        <w:tc>
          <w:tcPr>
            <w:tcW w:w="851"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3</w:t>
            </w:r>
          </w:p>
        </w:tc>
        <w:tc>
          <w:tcPr>
            <w:tcW w:w="1247"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1271031</w:t>
            </w:r>
          </w:p>
        </w:tc>
        <w:tc>
          <w:tcPr>
            <w:tcW w:w="1559" w:type="dxa"/>
          </w:tcPr>
          <w:p w:rsidR="00D40F5C" w:rsidRDefault="00F60650">
            <w:pPr>
              <w:widowControl/>
              <w:rPr>
                <w:rFonts w:ascii="Cambria" w:hAnsi="Cambria"/>
                <w:b/>
                <w:bCs/>
                <w:kern w:val="28"/>
                <w:sz w:val="20"/>
                <w:szCs w:val="24"/>
              </w:rPr>
            </w:pPr>
            <w:r>
              <w:rPr>
                <w:rFonts w:ascii="Cambria" w:hAnsi="Cambria" w:hint="eastAsia"/>
                <w:b/>
                <w:bCs/>
                <w:kern w:val="28"/>
                <w:sz w:val="20"/>
                <w:szCs w:val="24"/>
              </w:rPr>
              <w:t>及格以上</w:t>
            </w:r>
          </w:p>
        </w:tc>
      </w:tr>
      <w:tr w:rsidR="00D40F5C">
        <w:tc>
          <w:tcPr>
            <w:tcW w:w="1242"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物理学院</w:t>
            </w:r>
          </w:p>
        </w:tc>
        <w:tc>
          <w:tcPr>
            <w:tcW w:w="1560" w:type="dxa"/>
          </w:tcPr>
          <w:p w:rsidR="00D40F5C" w:rsidRDefault="00D720D0">
            <w:pPr>
              <w:widowControl/>
              <w:rPr>
                <w:rFonts w:ascii="Cambria" w:hAnsi="Cambria"/>
                <w:b/>
                <w:bCs/>
                <w:kern w:val="28"/>
                <w:sz w:val="20"/>
                <w:szCs w:val="24"/>
              </w:rPr>
            </w:pPr>
            <w:r>
              <w:rPr>
                <w:rFonts w:ascii="Cambria" w:hAnsi="Cambria"/>
                <w:b/>
                <w:bCs/>
                <w:kern w:val="28"/>
                <w:sz w:val="20"/>
                <w:szCs w:val="24"/>
              </w:rPr>
              <w:t>电子信息科学与技术</w:t>
            </w:r>
          </w:p>
        </w:tc>
        <w:tc>
          <w:tcPr>
            <w:tcW w:w="2296" w:type="dxa"/>
          </w:tcPr>
          <w:p w:rsidR="00D40F5C" w:rsidRDefault="00D720D0">
            <w:pPr>
              <w:widowControl/>
              <w:rPr>
                <w:rFonts w:ascii="Cambria" w:hAnsi="Cambria"/>
                <w:b/>
                <w:bCs/>
                <w:kern w:val="28"/>
                <w:sz w:val="20"/>
                <w:szCs w:val="24"/>
              </w:rPr>
            </w:pPr>
            <w:r>
              <w:rPr>
                <w:rFonts w:ascii="Cambria" w:hAnsi="Cambria"/>
                <w:b/>
                <w:bCs/>
                <w:kern w:val="28"/>
                <w:sz w:val="20"/>
                <w:szCs w:val="24"/>
              </w:rPr>
              <w:t>大学物理</w:t>
            </w:r>
          </w:p>
        </w:tc>
        <w:tc>
          <w:tcPr>
            <w:tcW w:w="851"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4</w:t>
            </w:r>
          </w:p>
        </w:tc>
        <w:tc>
          <w:tcPr>
            <w:tcW w:w="1247"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1111166</w:t>
            </w:r>
          </w:p>
        </w:tc>
        <w:tc>
          <w:tcPr>
            <w:tcW w:w="1559" w:type="dxa"/>
          </w:tcPr>
          <w:p w:rsidR="00D40F5C" w:rsidRDefault="00F60650">
            <w:pPr>
              <w:widowControl/>
              <w:rPr>
                <w:rFonts w:ascii="Cambria" w:hAnsi="Cambria"/>
                <w:b/>
                <w:bCs/>
                <w:kern w:val="28"/>
                <w:sz w:val="20"/>
                <w:szCs w:val="24"/>
              </w:rPr>
            </w:pPr>
            <w:r>
              <w:rPr>
                <w:rFonts w:ascii="Cambria" w:hAnsi="Cambria" w:hint="eastAsia"/>
                <w:b/>
                <w:bCs/>
                <w:kern w:val="28"/>
                <w:sz w:val="20"/>
                <w:szCs w:val="24"/>
              </w:rPr>
              <w:t>及格以上</w:t>
            </w:r>
          </w:p>
        </w:tc>
      </w:tr>
      <w:tr w:rsidR="00D40F5C">
        <w:tc>
          <w:tcPr>
            <w:tcW w:w="1242"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物理学院</w:t>
            </w:r>
          </w:p>
        </w:tc>
        <w:tc>
          <w:tcPr>
            <w:tcW w:w="1560" w:type="dxa"/>
          </w:tcPr>
          <w:p w:rsidR="00D40F5C" w:rsidRDefault="00D720D0">
            <w:pPr>
              <w:widowControl/>
              <w:rPr>
                <w:rFonts w:ascii="Cambria" w:hAnsi="Cambria"/>
                <w:b/>
                <w:bCs/>
                <w:kern w:val="28"/>
                <w:sz w:val="20"/>
                <w:szCs w:val="24"/>
              </w:rPr>
            </w:pPr>
            <w:r>
              <w:rPr>
                <w:rFonts w:ascii="Cambria" w:hAnsi="Cambria"/>
                <w:b/>
                <w:bCs/>
                <w:kern w:val="28"/>
                <w:sz w:val="20"/>
                <w:szCs w:val="24"/>
              </w:rPr>
              <w:t>电子信息科学与技术</w:t>
            </w:r>
          </w:p>
        </w:tc>
        <w:tc>
          <w:tcPr>
            <w:tcW w:w="2296" w:type="dxa"/>
          </w:tcPr>
          <w:p w:rsidR="00D40F5C" w:rsidRDefault="00D720D0">
            <w:pPr>
              <w:widowControl/>
              <w:rPr>
                <w:rFonts w:ascii="Cambria" w:hAnsi="Cambria"/>
                <w:b/>
                <w:bCs/>
                <w:kern w:val="28"/>
                <w:sz w:val="20"/>
                <w:szCs w:val="24"/>
              </w:rPr>
            </w:pPr>
            <w:r>
              <w:rPr>
                <w:rFonts w:ascii="Cambria" w:hAnsi="Cambria"/>
                <w:b/>
                <w:bCs/>
                <w:kern w:val="28"/>
                <w:sz w:val="20"/>
                <w:szCs w:val="24"/>
              </w:rPr>
              <w:t>大学英语</w:t>
            </w:r>
          </w:p>
        </w:tc>
        <w:tc>
          <w:tcPr>
            <w:tcW w:w="851"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4</w:t>
            </w:r>
          </w:p>
        </w:tc>
        <w:tc>
          <w:tcPr>
            <w:tcW w:w="1247" w:type="dxa"/>
          </w:tcPr>
          <w:p w:rsidR="00D40F5C" w:rsidRDefault="00D720D0">
            <w:pPr>
              <w:widowControl/>
              <w:rPr>
                <w:rFonts w:ascii="Cambria" w:hAnsi="Cambria"/>
                <w:b/>
                <w:bCs/>
                <w:kern w:val="28"/>
                <w:sz w:val="20"/>
                <w:szCs w:val="24"/>
              </w:rPr>
            </w:pPr>
            <w:r>
              <w:rPr>
                <w:rFonts w:ascii="Cambria" w:hAnsi="Cambria" w:hint="eastAsia"/>
                <w:b/>
                <w:bCs/>
                <w:kern w:val="28"/>
                <w:sz w:val="20"/>
                <w:szCs w:val="24"/>
              </w:rPr>
              <w:t>0871043</w:t>
            </w:r>
          </w:p>
        </w:tc>
        <w:tc>
          <w:tcPr>
            <w:tcW w:w="1559" w:type="dxa"/>
          </w:tcPr>
          <w:p w:rsidR="00D40F5C" w:rsidRDefault="00F60650">
            <w:pPr>
              <w:widowControl/>
              <w:rPr>
                <w:rFonts w:ascii="Cambria" w:hAnsi="Cambria"/>
                <w:b/>
                <w:bCs/>
                <w:kern w:val="28"/>
                <w:sz w:val="20"/>
                <w:szCs w:val="24"/>
              </w:rPr>
            </w:pPr>
            <w:r>
              <w:rPr>
                <w:rFonts w:ascii="Cambria" w:hAnsi="Cambria" w:hint="eastAsia"/>
                <w:b/>
                <w:bCs/>
                <w:kern w:val="28"/>
                <w:sz w:val="20"/>
                <w:szCs w:val="24"/>
              </w:rPr>
              <w:t>及格以上</w:t>
            </w:r>
          </w:p>
        </w:tc>
      </w:tr>
    </w:tbl>
    <w:p w:rsidR="00D40F5C" w:rsidRDefault="00D720D0">
      <w:pPr>
        <w:pStyle w:val="a"/>
        <w:numPr>
          <w:ilvl w:val="0"/>
          <w:numId w:val="2"/>
        </w:numPr>
      </w:pPr>
      <w:bookmarkStart w:id="10" w:name="_Toc444871996"/>
      <w:bookmarkStart w:id="11" w:name="_Toc444849000"/>
      <w:bookmarkStart w:id="12" w:name="_Toc444615606"/>
      <w:r>
        <w:rPr>
          <w:rFonts w:hint="eastAsia"/>
        </w:rPr>
        <w:t>转专业咨询方式</w:t>
      </w:r>
      <w:bookmarkEnd w:id="10"/>
      <w:bookmarkEnd w:id="11"/>
      <w:bookmarkEnd w:id="12"/>
    </w:p>
    <w:p w:rsidR="00D40F5C" w:rsidRDefault="00D720D0">
      <w:pPr>
        <w:pStyle w:val="10"/>
        <w:spacing w:line="460" w:lineRule="exact"/>
        <w:ind w:left="420" w:firstLineChars="0" w:firstLine="0"/>
        <w:rPr>
          <w:rFonts w:ascii="仿宋_GB2312" w:eastAsia="仿宋_GB2312" w:hAnsi="宋体"/>
          <w:color w:val="000000"/>
          <w:kern w:val="0"/>
          <w:sz w:val="28"/>
          <w:szCs w:val="28"/>
        </w:rPr>
      </w:pPr>
      <w:r>
        <w:rPr>
          <w:rFonts w:ascii="仿宋_GB2312" w:eastAsia="仿宋_GB2312" w:hAnsi="宋体" w:hint="eastAsia"/>
          <w:color w:val="000000"/>
          <w:kern w:val="0"/>
          <w:sz w:val="28"/>
          <w:szCs w:val="28"/>
        </w:rPr>
        <w:t>时间：6月2</w:t>
      </w:r>
      <w:r>
        <w:rPr>
          <w:rFonts w:ascii="仿宋_GB2312" w:eastAsia="仿宋_GB2312" w:hAnsi="宋体"/>
          <w:color w:val="000000"/>
          <w:kern w:val="0"/>
          <w:sz w:val="28"/>
          <w:szCs w:val="28"/>
        </w:rPr>
        <w:t>2</w:t>
      </w:r>
      <w:r>
        <w:rPr>
          <w:rFonts w:ascii="仿宋_GB2312" w:eastAsia="仿宋_GB2312" w:hAnsi="宋体" w:hint="eastAsia"/>
          <w:color w:val="000000"/>
          <w:kern w:val="0"/>
          <w:sz w:val="28"/>
          <w:szCs w:val="28"/>
        </w:rPr>
        <w:t>日 - 6月2</w:t>
      </w:r>
      <w:r>
        <w:rPr>
          <w:rFonts w:ascii="仿宋_GB2312" w:eastAsia="仿宋_GB2312" w:hAnsi="宋体"/>
          <w:color w:val="000000"/>
          <w:kern w:val="0"/>
          <w:sz w:val="28"/>
          <w:szCs w:val="28"/>
        </w:rPr>
        <w:t>3</w:t>
      </w:r>
      <w:r>
        <w:rPr>
          <w:rFonts w:ascii="仿宋_GB2312" w:eastAsia="仿宋_GB2312" w:hAnsi="宋体" w:hint="eastAsia"/>
          <w:color w:val="000000"/>
          <w:kern w:val="0"/>
          <w:sz w:val="28"/>
          <w:szCs w:val="28"/>
        </w:rPr>
        <w:t>日</w:t>
      </w:r>
    </w:p>
    <w:p w:rsidR="00D40F5C" w:rsidRDefault="00D720D0">
      <w:pPr>
        <w:pStyle w:val="10"/>
        <w:spacing w:line="460" w:lineRule="exact"/>
        <w:ind w:left="420" w:firstLineChars="0" w:firstLine="0"/>
        <w:rPr>
          <w:rFonts w:ascii="仿宋_GB2312" w:eastAsia="仿宋_GB2312" w:hAnsi="宋体"/>
          <w:color w:val="000000"/>
          <w:kern w:val="0"/>
          <w:sz w:val="28"/>
          <w:szCs w:val="28"/>
        </w:rPr>
      </w:pPr>
      <w:r>
        <w:rPr>
          <w:rFonts w:ascii="仿宋_GB2312" w:eastAsia="仿宋_GB2312" w:hAnsi="宋体" w:hint="eastAsia"/>
          <w:color w:val="000000"/>
          <w:kern w:val="0"/>
          <w:sz w:val="28"/>
          <w:szCs w:val="28"/>
        </w:rPr>
        <w:t>上午 9:30 - 11:30 下午14:00 - 16:00</w:t>
      </w:r>
    </w:p>
    <w:p w:rsidR="00D40F5C" w:rsidRDefault="00D720D0">
      <w:pPr>
        <w:pStyle w:val="10"/>
        <w:spacing w:line="460" w:lineRule="exact"/>
        <w:ind w:left="420" w:firstLineChars="0" w:firstLine="0"/>
        <w:rPr>
          <w:rFonts w:ascii="仿宋_GB2312" w:eastAsia="仿宋_GB2312" w:hAnsi="宋体"/>
          <w:color w:val="000000"/>
          <w:kern w:val="0"/>
          <w:sz w:val="28"/>
          <w:szCs w:val="28"/>
        </w:rPr>
      </w:pPr>
      <w:r>
        <w:rPr>
          <w:rFonts w:ascii="仿宋_GB2312" w:eastAsia="仿宋_GB2312" w:hAnsi="宋体" w:hint="eastAsia"/>
          <w:color w:val="000000"/>
          <w:kern w:val="0"/>
          <w:sz w:val="28"/>
          <w:szCs w:val="28"/>
        </w:rPr>
        <w:t>地点：</w:t>
      </w:r>
      <w:r w:rsidR="008F6B16">
        <w:rPr>
          <w:rFonts w:ascii="仿宋_GB2312" w:eastAsia="仿宋_GB2312" w:hAnsi="宋体" w:hint="eastAsia"/>
          <w:color w:val="000000"/>
          <w:kern w:val="0"/>
          <w:sz w:val="28"/>
          <w:szCs w:val="28"/>
        </w:rPr>
        <w:t>X5521A</w:t>
      </w:r>
    </w:p>
    <w:p w:rsidR="00D40F5C" w:rsidRDefault="00D720D0">
      <w:pPr>
        <w:pStyle w:val="10"/>
        <w:spacing w:line="460" w:lineRule="exact"/>
        <w:ind w:left="420" w:firstLineChars="0" w:firstLine="0"/>
        <w:rPr>
          <w:rFonts w:ascii="仿宋_GB2312" w:eastAsia="仿宋_GB2312" w:hAnsi="宋体"/>
          <w:color w:val="000000"/>
          <w:kern w:val="0"/>
          <w:sz w:val="28"/>
          <w:szCs w:val="28"/>
        </w:rPr>
      </w:pPr>
      <w:r>
        <w:rPr>
          <w:rFonts w:ascii="仿宋_GB2312" w:eastAsia="仿宋_GB2312" w:hAnsi="宋体" w:hint="eastAsia"/>
          <w:color w:val="000000"/>
          <w:kern w:val="0"/>
          <w:sz w:val="28"/>
          <w:szCs w:val="28"/>
        </w:rPr>
        <w:t>联系电话：6636</w:t>
      </w:r>
      <w:r w:rsidR="00821809">
        <w:rPr>
          <w:rFonts w:ascii="仿宋_GB2312" w:eastAsia="仿宋_GB2312" w:hAnsi="宋体" w:hint="eastAsia"/>
          <w:color w:val="000000"/>
          <w:kern w:val="0"/>
          <w:sz w:val="28"/>
          <w:szCs w:val="28"/>
        </w:rPr>
        <w:t>7837</w:t>
      </w:r>
      <w:r w:rsidR="0026105F">
        <w:rPr>
          <w:rFonts w:ascii="仿宋_GB2312" w:eastAsia="仿宋_GB2312" w:hAnsi="宋体" w:hint="eastAsia"/>
          <w:color w:val="000000"/>
          <w:kern w:val="0"/>
          <w:sz w:val="28"/>
          <w:szCs w:val="28"/>
        </w:rPr>
        <w:t>（冯</w:t>
      </w:r>
      <w:r>
        <w:rPr>
          <w:rFonts w:ascii="仿宋_GB2312" w:eastAsia="仿宋_GB2312" w:hAnsi="宋体" w:hint="eastAsia"/>
          <w:color w:val="000000"/>
          <w:kern w:val="0"/>
          <w:sz w:val="28"/>
          <w:szCs w:val="28"/>
        </w:rPr>
        <w:t>老师）</w:t>
      </w:r>
    </w:p>
    <w:p w:rsidR="00D40F5C" w:rsidRDefault="00D40F5C">
      <w:pPr>
        <w:ind w:firstLine="480"/>
      </w:pPr>
    </w:p>
    <w:p w:rsidR="00D40F5C" w:rsidRDefault="00D720D0">
      <w:pPr>
        <w:ind w:firstLineChars="1789" w:firstLine="5388"/>
        <w:rPr>
          <w:rFonts w:ascii="Cambria" w:hAnsi="Cambria"/>
          <w:b/>
          <w:bCs/>
          <w:kern w:val="28"/>
          <w:sz w:val="30"/>
          <w:szCs w:val="32"/>
        </w:rPr>
      </w:pPr>
      <w:r>
        <w:rPr>
          <w:rFonts w:ascii="Cambria" w:hAnsi="Cambria" w:hint="eastAsia"/>
          <w:b/>
          <w:bCs/>
          <w:kern w:val="28"/>
          <w:sz w:val="30"/>
          <w:szCs w:val="32"/>
        </w:rPr>
        <w:t>物理科学与技术学院</w:t>
      </w:r>
    </w:p>
    <w:p w:rsidR="00D40F5C" w:rsidRDefault="000E6F32">
      <w:pPr>
        <w:ind w:firstLineChars="2000" w:firstLine="6023"/>
        <w:rPr>
          <w:rFonts w:ascii="Cambria" w:hAnsi="Cambria"/>
          <w:b/>
          <w:bCs/>
          <w:kern w:val="28"/>
          <w:sz w:val="30"/>
          <w:szCs w:val="32"/>
        </w:rPr>
      </w:pPr>
      <w:r>
        <w:rPr>
          <w:rFonts w:ascii="Cambria" w:hAnsi="Cambria" w:hint="eastAsia"/>
          <w:b/>
          <w:bCs/>
          <w:kern w:val="28"/>
          <w:sz w:val="30"/>
          <w:szCs w:val="32"/>
        </w:rPr>
        <w:t>201</w:t>
      </w:r>
      <w:r>
        <w:rPr>
          <w:rFonts w:ascii="Cambria" w:hAnsi="Cambria"/>
          <w:b/>
          <w:bCs/>
          <w:kern w:val="28"/>
          <w:sz w:val="30"/>
          <w:szCs w:val="32"/>
        </w:rPr>
        <w:t>7</w:t>
      </w:r>
      <w:bookmarkStart w:id="13" w:name="_GoBack"/>
      <w:bookmarkEnd w:id="13"/>
      <w:r w:rsidR="00D720D0">
        <w:rPr>
          <w:rFonts w:ascii="Cambria" w:hAnsi="Cambria" w:hint="eastAsia"/>
          <w:b/>
          <w:bCs/>
          <w:kern w:val="28"/>
          <w:sz w:val="30"/>
          <w:szCs w:val="32"/>
        </w:rPr>
        <w:t>年</w:t>
      </w:r>
      <w:r w:rsidR="0026105F">
        <w:rPr>
          <w:rFonts w:ascii="Cambria" w:hAnsi="Cambria" w:hint="eastAsia"/>
          <w:b/>
          <w:bCs/>
          <w:kern w:val="28"/>
          <w:sz w:val="30"/>
          <w:szCs w:val="32"/>
        </w:rPr>
        <w:t>12</w:t>
      </w:r>
      <w:r w:rsidR="00D720D0">
        <w:rPr>
          <w:rFonts w:ascii="Cambria" w:hAnsi="Cambria" w:hint="eastAsia"/>
          <w:b/>
          <w:bCs/>
          <w:kern w:val="28"/>
          <w:sz w:val="30"/>
          <w:szCs w:val="32"/>
        </w:rPr>
        <w:t>月</w:t>
      </w:r>
    </w:p>
    <w:sectPr w:rsidR="00D40F5C">
      <w:headerReference w:type="even" r:id="rId8"/>
      <w:headerReference w:type="default" r:id="rId9"/>
      <w:headerReference w:type="firs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194" w:rsidRDefault="007F5194" w:rsidP="006D0456">
      <w:r>
        <w:separator/>
      </w:r>
    </w:p>
  </w:endnote>
  <w:endnote w:type="continuationSeparator" w:id="0">
    <w:p w:rsidR="007F5194" w:rsidRDefault="007F5194" w:rsidP="006D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194" w:rsidRDefault="007F5194" w:rsidP="006D0456">
      <w:r>
        <w:separator/>
      </w:r>
    </w:p>
  </w:footnote>
  <w:footnote w:type="continuationSeparator" w:id="0">
    <w:p w:rsidR="007F5194" w:rsidRDefault="007F5194" w:rsidP="006D0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456" w:rsidRDefault="006D0456">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456" w:rsidRDefault="006D0456">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456" w:rsidRDefault="006D0456">
    <w:pPr>
      <w:pStyle w:val="a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04E93"/>
    <w:multiLevelType w:val="multilevel"/>
    <w:tmpl w:val="0D104E93"/>
    <w:lvl w:ilvl="0">
      <w:start w:val="1"/>
      <w:numFmt w:val="chineseCountingThousand"/>
      <w:lvlText w:val="%1、"/>
      <w:lvlJc w:val="left"/>
      <w:pPr>
        <w:ind w:left="420" w:hanging="420"/>
      </w:pPr>
      <w:rPr>
        <w:rFonts w:cs="Times New Roman"/>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2EC330E3"/>
    <w:multiLevelType w:val="multilevel"/>
    <w:tmpl w:val="2EC330E3"/>
    <w:lvl w:ilvl="0">
      <w:start w:val="1"/>
      <w:numFmt w:val="decimal"/>
      <w:lvlText w:val="%1、"/>
      <w:lvlJc w:val="left"/>
      <w:pPr>
        <w:ind w:left="780" w:hanging="360"/>
      </w:pPr>
      <w:rPr>
        <w:rFonts w:ascii="Times New Roman" w:hAnsi="Times New Roman" w:cstheme="minorBidi" w:hint="default"/>
        <w:color w:val="auto"/>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3A0E5FA8"/>
    <w:multiLevelType w:val="multilevel"/>
    <w:tmpl w:val="3A0E5FA8"/>
    <w:lvl w:ilvl="0">
      <w:start w:val="1"/>
      <w:numFmt w:val="decimal"/>
      <w:lvlText w:val="%1、"/>
      <w:lvlJc w:val="left"/>
      <w:pPr>
        <w:ind w:left="840" w:hanging="360"/>
      </w:pPr>
      <w:rPr>
        <w:rFonts w:cstheme="minorBidi"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55BF46D7"/>
    <w:multiLevelType w:val="multilevel"/>
    <w:tmpl w:val="55BF46D7"/>
    <w:lvl w:ilvl="0">
      <w:start w:val="1"/>
      <w:numFmt w:val="chineseCountingThousand"/>
      <w:pStyle w:val="a"/>
      <w:lvlText w:val="%1、"/>
      <w:lvlJc w:val="left"/>
      <w:pPr>
        <w:ind w:left="420" w:hanging="420"/>
      </w:pPr>
      <w:rPr>
        <w:rFonts w:cs="Times New Roman"/>
        <w:b/>
        <w:bCs w:val="0"/>
        <w:i w:val="0"/>
        <w:iCs w:val="0"/>
        <w:caps w:val="0"/>
        <w:smallCaps w:val="0"/>
        <w:strike w:val="0"/>
        <w:dstrike w:val="0"/>
        <w:vanish w:val="0"/>
        <w:color w:val="000000"/>
        <w:spacing w:val="0"/>
        <w:position w:val="0"/>
        <w:u w:val="none"/>
        <w:vertAlign w:val="baseline"/>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151"/>
    <w:rsid w:val="000062BC"/>
    <w:rsid w:val="000E6F32"/>
    <w:rsid w:val="00174B45"/>
    <w:rsid w:val="001E1151"/>
    <w:rsid w:val="0026105F"/>
    <w:rsid w:val="00294F1B"/>
    <w:rsid w:val="003D1EB4"/>
    <w:rsid w:val="006D0456"/>
    <w:rsid w:val="007C36DD"/>
    <w:rsid w:val="007F5194"/>
    <w:rsid w:val="00821809"/>
    <w:rsid w:val="008F6B16"/>
    <w:rsid w:val="00982F0F"/>
    <w:rsid w:val="009F5E57"/>
    <w:rsid w:val="00BD230C"/>
    <w:rsid w:val="00D40F5C"/>
    <w:rsid w:val="00D720D0"/>
    <w:rsid w:val="00DB0BF8"/>
    <w:rsid w:val="00F60650"/>
    <w:rsid w:val="45EC1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91F76A-7263-44D9-8985-EEC1C5324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pPr>
      <w:keepNext/>
      <w:keepLines/>
      <w:spacing w:before="340" w:after="330" w:line="578" w:lineRule="auto"/>
      <w:ind w:firstLineChars="200" w:firstLine="200"/>
      <w:jc w:val="left"/>
      <w:outlineLvl w:val="0"/>
    </w:pPr>
    <w:rPr>
      <w:rFonts w:ascii="Calibri" w:eastAsia="宋体" w:hAnsi="Calibri" w:cs="Times New Roman"/>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qFormat/>
    <w:pPr>
      <w:pBdr>
        <w:bottom w:val="single" w:sz="6" w:space="1" w:color="auto"/>
      </w:pBdr>
      <w:tabs>
        <w:tab w:val="center" w:pos="4153"/>
        <w:tab w:val="right" w:pos="8306"/>
      </w:tabs>
      <w:snapToGrid w:val="0"/>
      <w:spacing w:before="120" w:after="40"/>
      <w:ind w:firstLineChars="200" w:firstLine="200"/>
      <w:jc w:val="center"/>
    </w:pPr>
    <w:rPr>
      <w:rFonts w:ascii="Calibri" w:eastAsia="宋体" w:hAnsi="Calibri" w:cs="Times New Roman"/>
      <w:sz w:val="18"/>
      <w:szCs w:val="18"/>
    </w:rPr>
  </w:style>
  <w:style w:type="paragraph" w:styleId="a">
    <w:name w:val="Subtitle"/>
    <w:basedOn w:val="a0"/>
    <w:next w:val="a0"/>
    <w:link w:val="Char0"/>
    <w:uiPriority w:val="11"/>
    <w:qFormat/>
    <w:pPr>
      <w:numPr>
        <w:numId w:val="1"/>
      </w:numPr>
      <w:spacing w:before="120" w:after="40" w:line="312" w:lineRule="auto"/>
      <w:ind w:firstLine="0"/>
      <w:jc w:val="left"/>
      <w:outlineLvl w:val="1"/>
    </w:pPr>
    <w:rPr>
      <w:rFonts w:ascii="Cambria" w:eastAsia="宋体" w:hAnsi="Cambria" w:cs="Times New Roman"/>
      <w:b/>
      <w:bCs/>
      <w:kern w:val="28"/>
      <w:sz w:val="30"/>
      <w:szCs w:val="32"/>
    </w:rPr>
  </w:style>
  <w:style w:type="table" w:styleId="a5">
    <w:name w:val="Table Grid"/>
    <w:basedOn w:val="a2"/>
    <w:uiPriority w:val="3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qFormat/>
    <w:rPr>
      <w:rFonts w:ascii="Calibri" w:eastAsia="宋体" w:hAnsi="Calibri" w:cs="Times New Roman"/>
      <w:b/>
      <w:bCs/>
      <w:kern w:val="44"/>
      <w:sz w:val="32"/>
      <w:szCs w:val="44"/>
    </w:rPr>
  </w:style>
  <w:style w:type="character" w:customStyle="1" w:styleId="Char0">
    <w:name w:val="副标题 Char"/>
    <w:basedOn w:val="a1"/>
    <w:link w:val="a"/>
    <w:uiPriority w:val="11"/>
    <w:qFormat/>
    <w:rPr>
      <w:rFonts w:ascii="Cambria" w:eastAsia="宋体" w:hAnsi="Cambria" w:cs="Times New Roman"/>
      <w:b/>
      <w:bCs/>
      <w:kern w:val="28"/>
      <w:sz w:val="30"/>
      <w:szCs w:val="32"/>
    </w:rPr>
  </w:style>
  <w:style w:type="paragraph" w:customStyle="1" w:styleId="10">
    <w:name w:val="列出段落1"/>
    <w:basedOn w:val="a0"/>
    <w:uiPriority w:val="34"/>
    <w:qFormat/>
    <w:pPr>
      <w:ind w:firstLineChars="200" w:firstLine="420"/>
    </w:pPr>
  </w:style>
  <w:style w:type="character" w:customStyle="1" w:styleId="Char">
    <w:name w:val="页眉 Char"/>
    <w:basedOn w:val="a1"/>
    <w:link w:val="a4"/>
    <w:uiPriority w:val="99"/>
    <w:rPr>
      <w:rFonts w:ascii="Calibri" w:eastAsia="宋体" w:hAnsi="Calibri" w:cs="Times New Roman"/>
      <w:sz w:val="18"/>
      <w:szCs w:val="18"/>
    </w:rPr>
  </w:style>
  <w:style w:type="paragraph" w:styleId="a6">
    <w:name w:val="footer"/>
    <w:basedOn w:val="a0"/>
    <w:link w:val="Char1"/>
    <w:uiPriority w:val="99"/>
    <w:unhideWhenUsed/>
    <w:rsid w:val="006D0456"/>
    <w:pPr>
      <w:tabs>
        <w:tab w:val="center" w:pos="4153"/>
        <w:tab w:val="right" w:pos="8306"/>
      </w:tabs>
      <w:snapToGrid w:val="0"/>
      <w:jc w:val="left"/>
    </w:pPr>
    <w:rPr>
      <w:sz w:val="18"/>
      <w:szCs w:val="18"/>
    </w:rPr>
  </w:style>
  <w:style w:type="character" w:customStyle="1" w:styleId="Char1">
    <w:name w:val="页脚 Char"/>
    <w:basedOn w:val="a1"/>
    <w:link w:val="a6"/>
    <w:uiPriority w:val="99"/>
    <w:rsid w:val="006D045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230</Words>
  <Characters>1315</Characters>
  <Application>Microsoft Office Word</Application>
  <DocSecurity>0</DocSecurity>
  <Lines>10</Lines>
  <Paragraphs>3</Paragraphs>
  <ScaleCrop>false</ScaleCrop>
  <Company>DoubleOX</Company>
  <LinksUpToDate>false</LinksUpToDate>
  <CharactersWithSpaces>1542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肖智骅</dc:creator>
  <cp:lastModifiedBy>Albert</cp:lastModifiedBy>
  <cp:revision>6</cp:revision>
  <dcterms:created xsi:type="dcterms:W3CDTF">2017-12-22T03:00:00Z</dcterms:created>
  <dcterms:modified xsi:type="dcterms:W3CDTF">2017-12-22T08:36:00Z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